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page" w:tblpX="1351" w:tblpY="-917"/>
        <w:tblW w:w="13345" w:type="dxa"/>
        <w:tblLook w:val="04A0" w:firstRow="1" w:lastRow="0" w:firstColumn="1" w:lastColumn="0" w:noHBand="0" w:noVBand="1"/>
      </w:tblPr>
      <w:tblGrid>
        <w:gridCol w:w="975"/>
        <w:gridCol w:w="2149"/>
        <w:gridCol w:w="1190"/>
        <w:gridCol w:w="977"/>
        <w:gridCol w:w="8054"/>
      </w:tblGrid>
      <w:tr w:rsidR="005A7EA8" w:rsidRPr="009A4AA2" w:rsidTr="00BB3563">
        <w:trPr>
          <w:trHeight w:val="1351"/>
        </w:trPr>
        <w:tc>
          <w:tcPr>
            <w:tcW w:w="13345" w:type="dxa"/>
            <w:gridSpan w:val="5"/>
            <w:hideMark/>
          </w:tcPr>
          <w:p w:rsidR="005A7EA8" w:rsidRPr="009A4AA2" w:rsidRDefault="005A7EA8" w:rsidP="00BB3563">
            <w:pPr>
              <w:jc w:val="center"/>
              <w:rPr>
                <w:rFonts w:ascii="Times New Roman" w:eastAsia="Times New Roman" w:hAnsi="Times New Roman" w:cs="Times New Roman"/>
                <w:b/>
                <w:bCs/>
                <w:color w:val="000000"/>
                <w:sz w:val="36"/>
                <w:szCs w:val="40"/>
              </w:rPr>
            </w:pPr>
            <w:r w:rsidRPr="009A4AA2">
              <w:rPr>
                <w:rFonts w:ascii="Times New Roman" w:eastAsia="Times New Roman" w:hAnsi="Times New Roman" w:cs="Times New Roman"/>
                <w:b/>
                <w:bCs/>
                <w:color w:val="000000"/>
                <w:sz w:val="48"/>
                <w:szCs w:val="52"/>
              </w:rPr>
              <w:t>FQAC, Faculty of Business Studies</w:t>
            </w:r>
            <w:r w:rsidRPr="009A4AA2">
              <w:rPr>
                <w:rFonts w:ascii="Times New Roman" w:eastAsia="Times New Roman" w:hAnsi="Times New Roman" w:cs="Times New Roman"/>
                <w:b/>
                <w:bCs/>
                <w:color w:val="000000"/>
                <w:sz w:val="48"/>
                <w:szCs w:val="52"/>
              </w:rPr>
              <w:br/>
              <w:t xml:space="preserve">Performance Score card: </w:t>
            </w:r>
            <w:r w:rsidR="003B5FA7">
              <w:rPr>
                <w:rFonts w:ascii="Times New Roman" w:eastAsia="Times New Roman" w:hAnsi="Times New Roman" w:cs="Times New Roman"/>
                <w:b/>
                <w:bCs/>
                <w:color w:val="000000"/>
                <w:sz w:val="48"/>
                <w:szCs w:val="52"/>
              </w:rPr>
              <w:t xml:space="preserve">October – December </w:t>
            </w:r>
            <w:r w:rsidR="0022632A">
              <w:rPr>
                <w:rFonts w:ascii="Times New Roman" w:eastAsia="Times New Roman" w:hAnsi="Times New Roman" w:cs="Times New Roman"/>
                <w:b/>
                <w:bCs/>
                <w:color w:val="000000"/>
                <w:sz w:val="48"/>
                <w:szCs w:val="52"/>
              </w:rPr>
              <w:t>2</w:t>
            </w:r>
            <w:r>
              <w:rPr>
                <w:rFonts w:ascii="Times New Roman" w:eastAsia="Times New Roman" w:hAnsi="Times New Roman" w:cs="Times New Roman"/>
                <w:b/>
                <w:bCs/>
                <w:color w:val="000000"/>
                <w:sz w:val="48"/>
                <w:szCs w:val="52"/>
              </w:rPr>
              <w:t>025</w:t>
            </w:r>
          </w:p>
        </w:tc>
      </w:tr>
      <w:tr w:rsidR="005A7EA8" w:rsidRPr="009A4AA2" w:rsidTr="00BB3563">
        <w:trPr>
          <w:trHeight w:val="452"/>
        </w:trPr>
        <w:tc>
          <w:tcPr>
            <w:tcW w:w="13345" w:type="dxa"/>
            <w:gridSpan w:val="5"/>
            <w:noWrap/>
            <w:hideMark/>
          </w:tcPr>
          <w:p w:rsidR="005A7EA8" w:rsidRPr="009A4AA2" w:rsidRDefault="005A7EA8" w:rsidP="00BB3563">
            <w:pPr>
              <w:jc w:val="center"/>
              <w:rPr>
                <w:rFonts w:ascii="Times New Roman" w:eastAsia="Times New Roman" w:hAnsi="Times New Roman" w:cs="Times New Roman"/>
                <w:b/>
                <w:bCs/>
                <w:color w:val="000000"/>
                <w:sz w:val="32"/>
                <w:szCs w:val="36"/>
              </w:rPr>
            </w:pPr>
            <w:r w:rsidRPr="009A4AA2">
              <w:rPr>
                <w:rFonts w:ascii="Times New Roman" w:eastAsia="Times New Roman" w:hAnsi="Times New Roman" w:cs="Times New Roman"/>
                <w:b/>
                <w:bCs/>
                <w:color w:val="000000"/>
                <w:sz w:val="28"/>
                <w:szCs w:val="36"/>
              </w:rPr>
              <w:t>Section 1: Establishment of FQAC (10%)</w:t>
            </w:r>
          </w:p>
        </w:tc>
      </w:tr>
      <w:tr w:rsidR="005A7EA8" w:rsidRPr="009A4AA2" w:rsidTr="00BB3563">
        <w:trPr>
          <w:trHeight w:val="754"/>
        </w:trPr>
        <w:tc>
          <w:tcPr>
            <w:tcW w:w="975" w:type="dxa"/>
            <w:noWrap/>
            <w:hideMark/>
          </w:tcPr>
          <w:p w:rsidR="005A7EA8" w:rsidRPr="009A4AA2" w:rsidRDefault="005A7EA8" w:rsidP="00BB3563">
            <w:pPr>
              <w:rPr>
                <w:rFonts w:ascii="Times New Roman" w:eastAsia="Times New Roman" w:hAnsi="Times New Roman" w:cs="Times New Roman"/>
                <w:color w:val="000000"/>
                <w:szCs w:val="24"/>
              </w:rPr>
            </w:pPr>
            <w:r w:rsidRPr="009A4AA2">
              <w:rPr>
                <w:rFonts w:ascii="Times New Roman" w:eastAsia="Times New Roman" w:hAnsi="Times New Roman" w:cs="Times New Roman"/>
                <w:color w:val="000000"/>
                <w:szCs w:val="24"/>
              </w:rPr>
              <w:t> </w:t>
            </w:r>
          </w:p>
        </w:tc>
        <w:tc>
          <w:tcPr>
            <w:tcW w:w="2149"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Criteria</w:t>
            </w:r>
          </w:p>
        </w:tc>
        <w:tc>
          <w:tcPr>
            <w:tcW w:w="1190"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Allocated Score</w:t>
            </w:r>
          </w:p>
        </w:tc>
        <w:tc>
          <w:tcPr>
            <w:tcW w:w="977"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Score Earned</w:t>
            </w:r>
          </w:p>
        </w:tc>
        <w:tc>
          <w:tcPr>
            <w:tcW w:w="8054"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Description</w:t>
            </w:r>
          </w:p>
        </w:tc>
      </w:tr>
      <w:tr w:rsidR="005A7EA8" w:rsidRPr="009A4AA2" w:rsidTr="00BB3563">
        <w:trPr>
          <w:trHeight w:val="317"/>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a Coordinator for the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Duties and responsibilities, Appointed by the Vice-Chancellor, Duration = 3 years</w:t>
            </w:r>
          </w:p>
        </w:tc>
      </w:tr>
      <w:tr w:rsidR="005A7EA8" w:rsidRPr="009A4AA2" w:rsidTr="00BB3563">
        <w:trPr>
          <w:trHeight w:val="3306"/>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other members of FQAC</w:t>
            </w:r>
          </w:p>
        </w:tc>
        <w:tc>
          <w:tcPr>
            <w:tcW w:w="1190"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Composition made according to the Internal Quality Enhancement System and Framework:</w:t>
            </w:r>
            <w:r w:rsidRPr="009A4AA2">
              <w:rPr>
                <w:rFonts w:ascii="Times New Roman" w:eastAsia="Times New Roman" w:hAnsi="Times New Roman" w:cs="Times New Roman"/>
                <w:color w:val="000000"/>
              </w:rPr>
              <w:br/>
              <w:t xml:space="preserve">Dean/FBS, coordinator/ FQAC, Heads of the departments, All professors of the faculty, Academic Coordinator – Banking and Insurance, Director – SDC, University of Vavuniya , Chairperson – Curriculum Development Committee , Chairperson – Research and Development Committee, Coordinator – Industry and Community Interaction Cell (ICIC)/UBL, Coordinator – Well-being Cell / FBS, Coordinator – Career Guidance Cell / FBS, Web Committee Coordinator – FBS, Coordinator - Information Technology Services Unit – FBS, Coordinator – Faculty Alumni, Student Counsellors, Coordinators – Training and Placement Cells, Senior Treasurers / Advisors – Student Clubs, Senior Treasurer / Faculty Students Union, Assistant Registrar – FBS, Non-academic Staff – one representative , Students Representatives – One student from each discipline (3rd /4th year), Management Trainee </w:t>
            </w:r>
          </w:p>
        </w:tc>
      </w:tr>
      <w:tr w:rsidR="005A7EA8" w:rsidRPr="009A4AA2" w:rsidTr="00BB3563">
        <w:trPr>
          <w:trHeight w:val="634"/>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office space for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Office space is available at FBS Deans Office building, Space is allowed for use to have a small group discussion if other venues are not available.</w:t>
            </w:r>
          </w:p>
        </w:tc>
      </w:tr>
      <w:tr w:rsidR="005A7EA8" w:rsidRPr="009A4AA2" w:rsidTr="00BB3563">
        <w:trPr>
          <w:trHeight w:val="634"/>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furniture for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Wooden Table 1, Computer Chair 1, Computer Table 1, 03 File Rack without cupboard, 02 File Rack with cupboard, 02 Filing Cupboard, 01 Steel Cupboard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office equipment</w:t>
            </w:r>
          </w:p>
        </w:tc>
        <w:tc>
          <w:tcPr>
            <w:tcW w:w="1190"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0.25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Desktop computer = 1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6</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internet and telephone facilities</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w:t>
            </w:r>
            <w:r w:rsidR="004C31D5">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No Telephone Facilities available</w:t>
            </w:r>
            <w:r w:rsidR="004C31D5">
              <w:rPr>
                <w:rFonts w:ascii="Times New Roman" w:eastAsia="Times New Roman" w:hAnsi="Times New Roman" w:cs="Times New Roman"/>
                <w:color w:val="000000"/>
              </w:rPr>
              <w:t xml:space="preserve">. Only using the common university internet services.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support staff</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w:t>
            </w:r>
            <w:r w:rsidR="00366F69">
              <w:rPr>
                <w:rFonts w:ascii="Times New Roman" w:eastAsia="Times New Roman" w:hAnsi="Times New Roman" w:cs="Times New Roman"/>
                <w:color w:val="000000"/>
              </w:rPr>
              <w:t>1</w:t>
            </w:r>
          </w:p>
        </w:tc>
        <w:tc>
          <w:tcPr>
            <w:tcW w:w="8054" w:type="dxa"/>
            <w:hideMark/>
          </w:tcPr>
          <w:p w:rsidR="005A7EA8" w:rsidRPr="009A4AA2" w:rsidRDefault="004C31D5" w:rsidP="00BB3563">
            <w:pPr>
              <w:jc w:val="both"/>
              <w:rPr>
                <w:rFonts w:ascii="Times New Roman" w:eastAsia="Times New Roman" w:hAnsi="Times New Roman" w:cs="Times New Roman"/>
                <w:color w:val="000000"/>
              </w:rPr>
            </w:pPr>
            <w:r w:rsidRPr="004C31D5">
              <w:rPr>
                <w:rFonts w:ascii="Times New Roman" w:eastAsia="Times New Roman" w:hAnsi="Times New Roman" w:cs="Times New Roman"/>
                <w:color w:val="000000"/>
              </w:rPr>
              <w:t>A Management Assistant (Trainee) position is maintained within the unit. However, in the event of a resignation by the incumbent, there is usually an unavoidable delay of approximately one to two months before a new appointment can be made</w:t>
            </w:r>
            <w:r>
              <w:rPr>
                <w:rFonts w:ascii="Times New Roman" w:eastAsia="Times New Roman" w:hAnsi="Times New Roman" w:cs="Times New Roman"/>
                <w:color w:val="000000"/>
              </w:rPr>
              <w:t xml:space="preserve">. </w:t>
            </w:r>
            <w:bookmarkStart w:id="0" w:name="_GoBack"/>
            <w:bookmarkEnd w:id="0"/>
          </w:p>
        </w:tc>
      </w:tr>
      <w:tr w:rsidR="005A7EA8" w:rsidRPr="009A4AA2" w:rsidTr="00BB3563">
        <w:trPr>
          <w:trHeight w:val="450"/>
        </w:trPr>
        <w:tc>
          <w:tcPr>
            <w:tcW w:w="975"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149" w:type="dxa"/>
            <w:vMerge w:val="restart"/>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Mode of liaison of Faculty Coordinator with Director/CQA</w:t>
            </w:r>
          </w:p>
        </w:tc>
        <w:tc>
          <w:tcPr>
            <w:tcW w:w="1190"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977"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8054" w:type="dxa"/>
            <w:vMerge w:val="restart"/>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Items to be reported to the Director/CQA. Action Plan, Quarterly Progress Report, Annual Report, FQAC Meeting minutes via email.</w:t>
            </w:r>
          </w:p>
        </w:tc>
      </w:tr>
      <w:tr w:rsidR="005A7EA8" w:rsidRPr="009A4AA2" w:rsidTr="00BB3563">
        <w:trPr>
          <w:trHeight w:val="450"/>
        </w:trPr>
        <w:tc>
          <w:tcPr>
            <w:tcW w:w="975" w:type="dxa"/>
            <w:vMerge/>
            <w:hideMark/>
          </w:tcPr>
          <w:p w:rsidR="005A7EA8" w:rsidRPr="009A4AA2" w:rsidRDefault="005A7EA8" w:rsidP="00BB3563">
            <w:pPr>
              <w:rPr>
                <w:rFonts w:ascii="Times New Roman" w:eastAsia="Times New Roman" w:hAnsi="Times New Roman" w:cs="Times New Roman"/>
                <w:color w:val="000000"/>
              </w:rPr>
            </w:pPr>
          </w:p>
        </w:tc>
        <w:tc>
          <w:tcPr>
            <w:tcW w:w="2149" w:type="dxa"/>
            <w:vMerge/>
            <w:hideMark/>
          </w:tcPr>
          <w:p w:rsidR="005A7EA8" w:rsidRPr="009A4AA2" w:rsidRDefault="005A7EA8" w:rsidP="00BB3563">
            <w:pPr>
              <w:rPr>
                <w:rFonts w:ascii="Times New Roman" w:eastAsia="Times New Roman" w:hAnsi="Times New Roman" w:cs="Times New Roman"/>
                <w:color w:val="000000"/>
              </w:rPr>
            </w:pPr>
          </w:p>
        </w:tc>
        <w:tc>
          <w:tcPr>
            <w:tcW w:w="1190" w:type="dxa"/>
            <w:vMerge/>
            <w:hideMark/>
          </w:tcPr>
          <w:p w:rsidR="005A7EA8" w:rsidRPr="009A4AA2" w:rsidRDefault="005A7EA8" w:rsidP="00BB3563">
            <w:pPr>
              <w:rPr>
                <w:rFonts w:ascii="Times New Roman" w:eastAsia="Times New Roman" w:hAnsi="Times New Roman" w:cs="Times New Roman"/>
                <w:color w:val="000000"/>
              </w:rPr>
            </w:pPr>
          </w:p>
        </w:tc>
        <w:tc>
          <w:tcPr>
            <w:tcW w:w="977" w:type="dxa"/>
            <w:vMerge/>
            <w:hideMark/>
          </w:tcPr>
          <w:p w:rsidR="005A7EA8" w:rsidRPr="009A4AA2" w:rsidRDefault="005A7EA8" w:rsidP="00BB3563">
            <w:pPr>
              <w:rPr>
                <w:rFonts w:ascii="Times New Roman" w:eastAsia="Times New Roman" w:hAnsi="Times New Roman" w:cs="Times New Roman"/>
                <w:color w:val="000000"/>
              </w:rPr>
            </w:pPr>
          </w:p>
        </w:tc>
        <w:tc>
          <w:tcPr>
            <w:tcW w:w="8054" w:type="dxa"/>
            <w:vMerge/>
            <w:hideMark/>
          </w:tcPr>
          <w:p w:rsidR="005A7EA8" w:rsidRPr="009A4AA2" w:rsidRDefault="005A7EA8" w:rsidP="00BB3563">
            <w:pPr>
              <w:rPr>
                <w:rFonts w:ascii="Times New Roman" w:eastAsia="Times New Roman" w:hAnsi="Times New Roman" w:cs="Times New Roman"/>
                <w:color w:val="000000"/>
              </w:rPr>
            </w:pPr>
          </w:p>
        </w:tc>
      </w:tr>
      <w:tr w:rsidR="005A7EA8" w:rsidRPr="009A4AA2" w:rsidTr="00BB3563">
        <w:trPr>
          <w:trHeight w:val="377"/>
        </w:trPr>
        <w:tc>
          <w:tcPr>
            <w:tcW w:w="975" w:type="dxa"/>
            <w:noWrap/>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149" w:type="dxa"/>
            <w:noWrap/>
            <w:hideMark/>
          </w:tcPr>
          <w:p w:rsidR="005A7EA8" w:rsidRPr="009A4AA2" w:rsidRDefault="005A7EA8" w:rsidP="00BB3563">
            <w:pPr>
              <w:jc w:val="right"/>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Subtotal</w:t>
            </w:r>
          </w:p>
        </w:tc>
        <w:tc>
          <w:tcPr>
            <w:tcW w:w="1190" w:type="dxa"/>
            <w:noWrap/>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10</w:t>
            </w:r>
          </w:p>
        </w:tc>
        <w:tc>
          <w:tcPr>
            <w:tcW w:w="977" w:type="dxa"/>
            <w:noWrap/>
            <w:hideMark/>
          </w:tcPr>
          <w:p w:rsidR="005A7EA8" w:rsidRPr="009A4AA2" w:rsidRDefault="004C31D5" w:rsidP="00BB3563">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w:t>
            </w:r>
          </w:p>
        </w:tc>
        <w:tc>
          <w:tcPr>
            <w:tcW w:w="8054" w:type="dxa"/>
            <w:noWrap/>
            <w:hideMark/>
          </w:tcPr>
          <w:p w:rsidR="005A7EA8" w:rsidRPr="009A4AA2" w:rsidRDefault="005A7EA8" w:rsidP="00BB3563">
            <w:pPr>
              <w:jc w:val="center"/>
              <w:rPr>
                <w:rFonts w:ascii="Times New Roman" w:eastAsia="Times New Roman" w:hAnsi="Times New Roman" w:cs="Times New Roman"/>
                <w:b/>
                <w:bCs/>
                <w:color w:val="000000"/>
              </w:rPr>
            </w:pPr>
          </w:p>
        </w:tc>
      </w:tr>
    </w:tbl>
    <w:p w:rsidR="005A7EA8" w:rsidRDefault="005A7EA8" w:rsidP="005A7EA8">
      <w:pPr>
        <w:rPr>
          <w:sz w:val="20"/>
        </w:rPr>
      </w:pPr>
    </w:p>
    <w:tbl>
      <w:tblPr>
        <w:tblpPr w:leftFromText="180" w:rightFromText="180" w:vertAnchor="text" w:horzAnchor="page" w:tblpX="1341" w:tblpY="326"/>
        <w:tblW w:w="13405" w:type="dxa"/>
        <w:tblLook w:val="04A0" w:firstRow="1" w:lastRow="0" w:firstColumn="1" w:lastColumn="0" w:noHBand="0" w:noVBand="1"/>
      </w:tblPr>
      <w:tblGrid>
        <w:gridCol w:w="990"/>
        <w:gridCol w:w="2416"/>
        <w:gridCol w:w="1170"/>
        <w:gridCol w:w="990"/>
        <w:gridCol w:w="7912"/>
      </w:tblGrid>
      <w:tr w:rsidR="005A7EA8" w:rsidRPr="009A4AA2" w:rsidTr="00BB3563">
        <w:trPr>
          <w:trHeight w:val="450"/>
        </w:trPr>
        <w:tc>
          <w:tcPr>
            <w:tcW w:w="1340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center"/>
              <w:rPr>
                <w:rFonts w:ascii="Times New Roman" w:eastAsia="Times New Roman" w:hAnsi="Times New Roman" w:cs="Times New Roman"/>
                <w:b/>
                <w:bCs/>
                <w:color w:val="000000"/>
                <w:sz w:val="28"/>
                <w:szCs w:val="28"/>
              </w:rPr>
            </w:pPr>
            <w:r w:rsidRPr="009A4AA2">
              <w:rPr>
                <w:rFonts w:ascii="Times New Roman" w:eastAsia="Times New Roman" w:hAnsi="Times New Roman" w:cs="Times New Roman"/>
                <w:b/>
                <w:bCs/>
                <w:color w:val="000000"/>
                <w:sz w:val="28"/>
                <w:szCs w:val="28"/>
              </w:rPr>
              <w:t>Section 2: Institutionalization/Operationalization of FQAC (40%)</w:t>
            </w:r>
          </w:p>
        </w:tc>
      </w:tr>
      <w:tr w:rsidR="005A7EA8" w:rsidRPr="009A4AA2" w:rsidTr="00BB3563">
        <w:trPr>
          <w:trHeight w:val="750"/>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ind w:right="331"/>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5A7EA8" w:rsidRPr="009A4AA2" w:rsidTr="00BB3563">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By-laws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22632A"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Developed and approved by the University Council. Revision is in progress</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Operational Guidelines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FQAC has its operational guidelines according to the Internal Quality Enhancement System and Framework and customized for the University’s governance structure/Organogram and specific implementation arrangement.</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Five-year strategic development plan for QA activities available</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912" w:type="dxa"/>
            <w:tcBorders>
              <w:top w:val="nil"/>
              <w:left w:val="nil"/>
              <w:bottom w:val="single" w:sz="4" w:space="0" w:color="000000"/>
              <w:right w:val="single" w:sz="4" w:space="0" w:color="000000"/>
            </w:tcBorders>
            <w:shd w:val="clear" w:color="FFFFFF" w:fill="FFFFFF"/>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5-year Strategic Plan of the FBS incorporating the activities of FQAC recommended by the Faculty Board at its 222nd Meeting on 8th January 2025 and the Senate at its 38th Meeting held on 22d January 2025.</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work plan</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Recommendations given by the PR has been discussed at the FQAC and Faculty Board meetings and annual action plan 2025 of FQAC has been approved by the CQA and Senate.</w:t>
            </w:r>
          </w:p>
        </w:tc>
      </w:tr>
      <w:tr w:rsidR="005A7EA8" w:rsidRPr="009A4AA2" w:rsidTr="00BB3563">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budget</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Incorporated in to University’s recurrent budget under Dean's office budget of FBS.</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been established on University website and maintained</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Regular updation on the FQAC website takes place</w:t>
            </w:r>
            <w:r>
              <w:rPr>
                <w:rFonts w:ascii="Times New Roman" w:eastAsia="Times New Roman" w:hAnsi="Times New Roman" w:cs="Times New Roman"/>
                <w:color w:val="000000"/>
              </w:rPr>
              <w:t xml:space="preserve"> but due to the unavaialibilty of the permanent staff it was difficult to update</w:t>
            </w:r>
            <w:r w:rsidRPr="009A4AA2">
              <w:rPr>
                <w:rFonts w:ascii="Times New Roman" w:eastAsia="Times New Roman" w:hAnsi="Times New Roman" w:cs="Times New Roman"/>
                <w:color w:val="000000"/>
              </w:rPr>
              <w:t xml:space="preserve"> by the Coordinator/Management Trainee Assistant.</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7</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Permanent agenda item in Faculty Board meetings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a time slot for Coordinator to report at the Faculty Board at every regular FB meeting.</w:t>
            </w:r>
          </w:p>
        </w:tc>
      </w:tr>
      <w:tr w:rsidR="005A7EA8" w:rsidRPr="009A4AA2" w:rsidTr="00BB3563">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Chairperson/Coordinator of FQAC presents the QA strategies to the entire Faculty members regularly</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SDC has also been taking an important role to enhance QA related activities.</w:t>
            </w:r>
          </w:p>
        </w:tc>
      </w:tr>
      <w:tr w:rsidR="005A7EA8" w:rsidRPr="009A4AA2" w:rsidTr="00BB3563">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343"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Coordinator/FQAC is permitted to circulate notices of QA activities in the Faculty</w:t>
            </w:r>
          </w:p>
        </w:tc>
        <w:tc>
          <w:tcPr>
            <w:tcW w:w="1170"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With the approval of the FQAC, notices of meetings, workshops, seminars etc. regarding quality assurance of other State and Non-State Universities in order to be abreast of QA activities which enhance the educational experience of students - among staff members - academic, administrative, non- academic and support staff.</w:t>
            </w:r>
          </w:p>
        </w:tc>
      </w:tr>
      <w:tr w:rsidR="005A7EA8" w:rsidRPr="009A4AA2" w:rsidTr="00BB3563">
        <w:trPr>
          <w:trHeight w:val="285"/>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c>
          <w:tcPr>
            <w:tcW w:w="2343"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right"/>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170"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center"/>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40</w:t>
            </w:r>
          </w:p>
        </w:tc>
        <w:tc>
          <w:tcPr>
            <w:tcW w:w="990"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22632A" w:rsidP="00BB356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p>
        </w:tc>
        <w:tc>
          <w:tcPr>
            <w:tcW w:w="7912" w:type="dxa"/>
            <w:tcBorders>
              <w:top w:val="single" w:sz="4" w:space="0" w:color="000000"/>
              <w:left w:val="nil"/>
              <w:bottom w:val="nil"/>
              <w:right w:val="nil"/>
            </w:tcBorders>
            <w:shd w:val="clear" w:color="auto" w:fill="auto"/>
            <w:noWrap/>
            <w:vAlign w:val="center"/>
            <w:hideMark/>
          </w:tcPr>
          <w:p w:rsidR="005A7EA8" w:rsidRPr="009A4AA2" w:rsidRDefault="005A7EA8" w:rsidP="00BB3563">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r>
    </w:tbl>
    <w:p w:rsidR="005A7EA8" w:rsidRDefault="005A7EA8" w:rsidP="005A7EA8">
      <w:pPr>
        <w:rPr>
          <w:sz w:val="20"/>
        </w:rPr>
      </w:pPr>
    </w:p>
    <w:tbl>
      <w:tblPr>
        <w:tblStyle w:val="TableGrid"/>
        <w:tblW w:w="13590" w:type="dxa"/>
        <w:tblLook w:val="04A0" w:firstRow="1" w:lastRow="0" w:firstColumn="1" w:lastColumn="0" w:noHBand="0" w:noVBand="1"/>
      </w:tblPr>
      <w:tblGrid>
        <w:gridCol w:w="1080"/>
        <w:gridCol w:w="2781"/>
        <w:gridCol w:w="1352"/>
        <w:gridCol w:w="913"/>
        <w:gridCol w:w="7464"/>
      </w:tblGrid>
      <w:tr w:rsidR="005A7EA8" w:rsidRPr="009A4AA2" w:rsidTr="00BB3563">
        <w:trPr>
          <w:trHeight w:val="530"/>
        </w:trPr>
        <w:tc>
          <w:tcPr>
            <w:tcW w:w="13590" w:type="dxa"/>
            <w:gridSpan w:val="5"/>
            <w:noWrap/>
          </w:tcPr>
          <w:p w:rsidR="005A7EA8" w:rsidRPr="009A4AA2" w:rsidRDefault="005A7EA8" w:rsidP="00BB3563">
            <w:pPr>
              <w:jc w:val="center"/>
              <w:rPr>
                <w:rFonts w:ascii="Times New Roman" w:eastAsia="Times New Roman" w:hAnsi="Times New Roman" w:cs="Times New Roman"/>
                <w:b/>
                <w:bCs/>
                <w:color w:val="000000"/>
              </w:rPr>
            </w:pPr>
            <w:r w:rsidRPr="00CD2577">
              <w:rPr>
                <w:rFonts w:ascii="Times New Roman" w:eastAsia="Times New Roman" w:hAnsi="Times New Roman" w:cs="Times New Roman"/>
                <w:b/>
                <w:bCs/>
                <w:color w:val="000000"/>
              </w:rPr>
              <w:t>S</w:t>
            </w:r>
            <w:r w:rsidRPr="00CD2577">
              <w:rPr>
                <w:rFonts w:ascii="Times New Roman" w:eastAsia="Times New Roman" w:hAnsi="Times New Roman" w:cs="Times New Roman"/>
                <w:b/>
                <w:bCs/>
                <w:color w:val="000000"/>
                <w:sz w:val="28"/>
              </w:rPr>
              <w:t>ection 3: Implementation of QA Mechanism at Faculty (including preparation of Self - Assessment) (50%)</w:t>
            </w:r>
          </w:p>
        </w:tc>
      </w:tr>
      <w:tr w:rsidR="005A7EA8" w:rsidRPr="009A4AA2" w:rsidTr="00BB3563">
        <w:trPr>
          <w:trHeight w:val="750"/>
        </w:trPr>
        <w:tc>
          <w:tcPr>
            <w:tcW w:w="1080" w:type="dxa"/>
            <w:noWrap/>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781"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352"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13"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464"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initiates and supports preparation of SER for Institutional Reviews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22632A"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IR, the FQAC has played a significant role in helping by evidence collection process. The faculty level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Manual of IR for Universities in Sri Lanka. In addition, in the next IR of University of Vavuniya, FQAC has an agenda items in the FQAC meetings to discuss about it and evidence collection process.</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assists CQA to prepare SERs for Program Reviews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PR, the FQAC has played a significant role in writing it by appointing a team in the faculty. The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PR Manual for Degree Programmes in State Universities in Sri Lanka. In addition, FQAC has initiated discussion for the next programme review in the FQAC meetings.</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provides necessary training and workshop</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3B5FA7"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64" w:type="dxa"/>
            <w:hideMark/>
          </w:tcPr>
          <w:p w:rsidR="005A7EA8"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provided necessary training and workshops for the Self-Assessment Report preparation teams as well as other interested academics on the establishment of QA mechanism in universities, carrying out Self-assessment, and preparation of Self-Assessment Reports during the last PR.</w:t>
            </w:r>
          </w:p>
          <w:p w:rsidR="003B5FA7" w:rsidRPr="009A4AA2" w:rsidRDefault="003B5FA7"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Also arranged the workshop for introducing the online portal for calculating the Staff workload model. </w:t>
            </w:r>
          </w:p>
        </w:tc>
      </w:tr>
      <w:tr w:rsidR="005A7EA8" w:rsidRPr="009A4AA2" w:rsidTr="00BB3563">
        <w:trPr>
          <w:trHeight w:val="126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4</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motivates and supports Study programs to showcase best practices in QA.</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Identifying and sharing best QA practices among the study programmes, providing avenues to showcase the best practices. FQAC annually conducts staff and student’s satisfaction survey to obtain their views to improve the quality. In addition, feedback for orientation programme, exit graduate survey, teaching and course evaluation, etc. are conducted </w:t>
            </w:r>
            <w:r w:rsidRPr="00CD2577">
              <w:rPr>
                <w:rFonts w:ascii="Times New Roman" w:eastAsia="Times New Roman" w:hAnsi="Times New Roman" w:cs="Times New Roman"/>
                <w:color w:val="000000"/>
              </w:rPr>
              <w:t>regularly</w:t>
            </w:r>
            <w:r w:rsidRPr="009A4AA2">
              <w:rPr>
                <w:rFonts w:ascii="Times New Roman" w:eastAsia="Times New Roman" w:hAnsi="Times New Roman" w:cs="Times New Roman"/>
                <w:color w:val="000000"/>
              </w:rPr>
              <w:t xml:space="preserve"> and reported to FB for discussion and follow-up actions. QA related memos have been placed by the FQAC at the Faculty Board to implement the best practices by the departments.</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Liaise with other FQACs in the university and CQA on QA activities.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Introduce such best practices and assist regarding adapting and adoption of such practices in QA where relevant</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reports at the quarterly progress on QA activities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3B5FA7"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Quarterly progress report has been regularly submitted to CQA.</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Submission of annual report of the FQAC to the QAC.</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annual report 202</w:t>
            </w:r>
            <w:r w:rsidR="003B5FA7">
              <w:rPr>
                <w:rFonts w:ascii="Times New Roman" w:eastAsia="Times New Roman" w:hAnsi="Times New Roman" w:cs="Times New Roman"/>
                <w:color w:val="000000"/>
              </w:rPr>
              <w:t>5</w:t>
            </w:r>
            <w:r w:rsidRPr="009A4AA2">
              <w:rPr>
                <w:rFonts w:ascii="Times New Roman" w:eastAsia="Times New Roman" w:hAnsi="Times New Roman" w:cs="Times New Roman"/>
                <w:color w:val="000000"/>
              </w:rPr>
              <w:t xml:space="preserve"> of FQAC/FBS was submitted to CQA.</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Administer/facilitate all meetings of the FQAC.</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Set up dates annually, invite members for meetings, keep minutes, take necessary action on proceedings. Collect and archive minutes of FQAC of FBS. After getting the approval, it will be sent to CQA.</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Preparation of manuals or documents on QA aspects with the assistance of CQA.</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Questionnaires/surveys, student feedback on courses, teaching evaluations, feedback by staff and students on services, etc. are available and in practice.</w:t>
            </w:r>
          </w:p>
        </w:tc>
      </w:tr>
      <w:tr w:rsidR="005A7EA8" w:rsidRPr="009A4AA2" w:rsidTr="00BB3563">
        <w:trPr>
          <w:trHeight w:val="189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10</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results of Institutional Review and Program Reviews, including student surveys, are made available to all staff and external stakeholders on the university web-site.</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Information regarding meeting minutes, circulars, quarterly progress reports, annual reports, IR and PR reports, QA activities, etc. is published in the FQAC website regularly.</w:t>
            </w:r>
          </w:p>
        </w:tc>
      </w:tr>
      <w:tr w:rsidR="005A7EA8" w:rsidRPr="009A4AA2" w:rsidTr="00BB3563">
        <w:trPr>
          <w:trHeight w:val="285"/>
        </w:trPr>
        <w:tc>
          <w:tcPr>
            <w:tcW w:w="1080" w:type="dxa"/>
            <w:noWrap/>
            <w:hideMark/>
          </w:tcPr>
          <w:p w:rsidR="005A7EA8" w:rsidRPr="009A4AA2" w:rsidRDefault="005A7EA8" w:rsidP="00BB3563">
            <w:pPr>
              <w:jc w:val="both"/>
              <w:rPr>
                <w:rFonts w:ascii="Times New Roman" w:eastAsia="Times New Roman" w:hAnsi="Times New Roman" w:cs="Times New Roman"/>
                <w:color w:val="000000"/>
                <w:sz w:val="28"/>
                <w:szCs w:val="28"/>
              </w:rPr>
            </w:pPr>
            <w:r w:rsidRPr="009A4AA2">
              <w:rPr>
                <w:rFonts w:ascii="Times New Roman" w:eastAsia="Times New Roman" w:hAnsi="Times New Roman" w:cs="Times New Roman"/>
                <w:color w:val="000000"/>
                <w:sz w:val="28"/>
                <w:szCs w:val="28"/>
              </w:rPr>
              <w:t> </w:t>
            </w:r>
          </w:p>
        </w:tc>
        <w:tc>
          <w:tcPr>
            <w:tcW w:w="2781"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352"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50</w:t>
            </w:r>
          </w:p>
        </w:tc>
        <w:tc>
          <w:tcPr>
            <w:tcW w:w="913"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3B5FA7">
              <w:rPr>
                <w:rFonts w:ascii="Times New Roman" w:eastAsia="Times New Roman" w:hAnsi="Times New Roman" w:cs="Times New Roman"/>
                <w:b/>
                <w:bCs/>
                <w:color w:val="000000"/>
                <w:sz w:val="24"/>
                <w:szCs w:val="24"/>
              </w:rPr>
              <w:t>7</w:t>
            </w:r>
          </w:p>
        </w:tc>
        <w:tc>
          <w:tcPr>
            <w:tcW w:w="7464"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p>
        </w:tc>
      </w:tr>
    </w:tbl>
    <w:p w:rsidR="005A7EA8" w:rsidRDefault="005A7EA8" w:rsidP="005A7EA8">
      <w:pPr>
        <w:spacing w:after="0" w:line="360" w:lineRule="auto"/>
        <w:ind w:right="-18"/>
        <w:jc w:val="both"/>
        <w:rPr>
          <w:rFonts w:ascii="Times New Roman" w:eastAsia="Times New Roman" w:hAnsi="Times New Roman" w:cs="Times New Roman"/>
          <w:sz w:val="24"/>
          <w:szCs w:val="24"/>
        </w:rPr>
      </w:pPr>
      <w:r w:rsidRPr="002B001B">
        <w:rPr>
          <w:noProof/>
        </w:rPr>
        <w:lastRenderedPageBreak/>
        <w:drawing>
          <wp:anchor distT="0" distB="0" distL="114300" distR="114300" simplePos="0" relativeHeight="251659264" behindDoc="0" locked="0" layoutInCell="1" allowOverlap="1" wp14:anchorId="01BF7718" wp14:editId="29487FC7">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rsidR="005A7EA8" w:rsidRPr="00426AD2" w:rsidRDefault="005A7EA8" w:rsidP="005A7EA8">
      <w:pPr>
        <w:spacing w:after="0" w:line="360" w:lineRule="auto"/>
        <w:jc w:val="both"/>
        <w:outlineLvl w:val="0"/>
        <w:rPr>
          <w:rFonts w:ascii="Times New Roman" w:eastAsia="Times New Roman" w:hAnsi="Times New Roman" w:cs="Times New Roman"/>
          <w:sz w:val="24"/>
          <w:szCs w:val="24"/>
        </w:rPr>
      </w:pPr>
      <w:r w:rsidRPr="00426AD2">
        <w:rPr>
          <w:rFonts w:ascii="Times New Roman" w:eastAsia="Times New Roman" w:hAnsi="Times New Roman" w:cs="Times New Roman"/>
          <w:sz w:val="24"/>
          <w:szCs w:val="24"/>
        </w:rPr>
        <w:t>Coordinator</w:t>
      </w:r>
      <w:r>
        <w:rPr>
          <w:rFonts w:ascii="Times New Roman" w:eastAsia="Times New Roman" w:hAnsi="Times New Roman" w:cs="Times New Roman"/>
          <w:sz w:val="24"/>
          <w:szCs w:val="24"/>
        </w:rPr>
        <w:t>/ FQAC</w:t>
      </w:r>
    </w:p>
    <w:sectPr w:rsidR="005A7EA8" w:rsidRPr="00426AD2" w:rsidSect="009A4A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A8"/>
    <w:rsid w:val="001D2E43"/>
    <w:rsid w:val="0022632A"/>
    <w:rsid w:val="002A17EF"/>
    <w:rsid w:val="00366F69"/>
    <w:rsid w:val="003B5FA7"/>
    <w:rsid w:val="004C31D5"/>
    <w:rsid w:val="005A7EA8"/>
    <w:rsid w:val="006C63BD"/>
    <w:rsid w:val="00A91B5F"/>
    <w:rsid w:val="00D91739"/>
    <w:rsid w:val="00E5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3185"/>
  <w15:chartTrackingRefBased/>
  <w15:docId w15:val="{A42145F2-0EEC-4C24-A7C5-4F21929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7</cp:revision>
  <dcterms:created xsi:type="dcterms:W3CDTF">2025-10-22T07:47:00Z</dcterms:created>
  <dcterms:modified xsi:type="dcterms:W3CDTF">2026-01-03T09:03:00Z</dcterms:modified>
</cp:coreProperties>
</file>